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15" w:rsidRDefault="009B21DD" w:rsidP="009B21DD">
      <w:pPr>
        <w:jc w:val="center"/>
        <w:rPr>
          <w:b/>
          <w:sz w:val="48"/>
        </w:rPr>
      </w:pPr>
      <w:bookmarkStart w:id="0" w:name="_GoBack"/>
      <w:bookmarkEnd w:id="0"/>
      <w:r w:rsidRPr="009B21DD">
        <w:rPr>
          <w:b/>
          <w:sz w:val="48"/>
        </w:rPr>
        <w:t>Community Solutions</w:t>
      </w:r>
    </w:p>
    <w:p w:rsidR="009B21DD" w:rsidRPr="006F0D7E" w:rsidRDefault="009B21DD" w:rsidP="00F24BE9">
      <w:pPr>
        <w:tabs>
          <w:tab w:val="left" w:pos="2300"/>
        </w:tabs>
        <w:rPr>
          <w:rFonts w:cs="Arial"/>
          <w:b/>
          <w:iCs/>
          <w:color w:val="000000"/>
          <w:sz w:val="32"/>
          <w:szCs w:val="28"/>
        </w:rPr>
      </w:pPr>
      <w:r w:rsidRPr="006F0D7E">
        <w:rPr>
          <w:rFonts w:cs="Arial"/>
          <w:b/>
          <w:iCs/>
          <w:color w:val="000000"/>
          <w:sz w:val="32"/>
          <w:szCs w:val="28"/>
        </w:rPr>
        <w:t>The Model</w:t>
      </w:r>
    </w:p>
    <w:p w:rsidR="003E5C06" w:rsidRDefault="003E5C06" w:rsidP="00C7483D">
      <w:pPr>
        <w:pStyle w:val="Default"/>
        <w:rPr>
          <w:rFonts w:asciiTheme="minorHAnsi" w:hAnsiTheme="minorHAnsi" w:cstheme="minorBidi"/>
          <w:color w:val="auto"/>
          <w:sz w:val="28"/>
          <w:szCs w:val="28"/>
        </w:rPr>
      </w:pPr>
      <w:r>
        <w:rPr>
          <w:b/>
          <w:noProof/>
          <w:sz w:val="48"/>
          <w:lang w:eastAsia="en-GB"/>
        </w:rPr>
        <w:drawing>
          <wp:inline distT="0" distB="0" distL="0" distR="0">
            <wp:extent cx="6877050" cy="483360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prescribing diagram edit Nov 2016 main titles only large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7050" cy="4833602"/>
                    </a:xfrm>
                    <a:prstGeom prst="rect">
                      <a:avLst/>
                    </a:prstGeom>
                  </pic:spPr>
                </pic:pic>
              </a:graphicData>
            </a:graphic>
          </wp:inline>
        </w:drawing>
      </w:r>
    </w:p>
    <w:p w:rsidR="003E5C06" w:rsidRDefault="003E5C06" w:rsidP="00C7483D">
      <w:pPr>
        <w:pStyle w:val="Default"/>
        <w:rPr>
          <w:rFonts w:asciiTheme="minorHAnsi" w:hAnsiTheme="minorHAnsi" w:cstheme="minorBidi"/>
          <w:color w:val="auto"/>
          <w:sz w:val="28"/>
          <w:szCs w:val="28"/>
        </w:rPr>
      </w:pPr>
    </w:p>
    <w:p w:rsidR="003E5C06" w:rsidRDefault="003E5C06" w:rsidP="00C7483D">
      <w:pPr>
        <w:pStyle w:val="Default"/>
        <w:rPr>
          <w:rFonts w:asciiTheme="minorHAnsi" w:hAnsiTheme="minorHAnsi" w:cstheme="minorBidi"/>
          <w:color w:val="auto"/>
          <w:sz w:val="28"/>
          <w:szCs w:val="28"/>
        </w:rPr>
      </w:pPr>
    </w:p>
    <w:p w:rsidR="009B21DD" w:rsidRPr="00AA61E7" w:rsidRDefault="009B21DD" w:rsidP="00C7483D">
      <w:pPr>
        <w:pStyle w:val="Default"/>
        <w:rPr>
          <w:rFonts w:asciiTheme="minorHAnsi" w:hAnsiTheme="minorHAnsi" w:cstheme="minorBidi"/>
          <w:color w:val="auto"/>
          <w:sz w:val="28"/>
          <w:szCs w:val="28"/>
        </w:rPr>
      </w:pPr>
      <w:r w:rsidRPr="00AA61E7">
        <w:rPr>
          <w:rFonts w:asciiTheme="minorHAnsi" w:hAnsiTheme="minorHAnsi" w:cstheme="minorBidi"/>
          <w:color w:val="auto"/>
          <w:sz w:val="28"/>
          <w:szCs w:val="28"/>
        </w:rPr>
        <w:t xml:space="preserve">A way in which people can be referred, linked and supported to find whole person solutions that meet their social, emotional or practical needs and improve their health and wellbeing. This can happen through early intervention, prevention or supporting </w:t>
      </w:r>
      <w:r w:rsidR="00C7483D">
        <w:rPr>
          <w:rFonts w:asciiTheme="minorHAnsi" w:hAnsiTheme="minorHAnsi" w:cstheme="minorBidi"/>
          <w:color w:val="auto"/>
          <w:sz w:val="28"/>
          <w:szCs w:val="28"/>
        </w:rPr>
        <w:t>recognised</w:t>
      </w:r>
      <w:r w:rsidRPr="00AA61E7">
        <w:rPr>
          <w:rFonts w:asciiTheme="minorHAnsi" w:hAnsiTheme="minorHAnsi" w:cstheme="minorBidi"/>
          <w:color w:val="auto"/>
          <w:sz w:val="28"/>
          <w:szCs w:val="28"/>
        </w:rPr>
        <w:t xml:space="preserve"> pathways often using services provided by the voluntary and community sector.</w:t>
      </w:r>
    </w:p>
    <w:p w:rsidR="006F0D7E" w:rsidRDefault="006F0D7E" w:rsidP="006F0D7E">
      <w:pPr>
        <w:rPr>
          <w:sz w:val="28"/>
          <w:szCs w:val="28"/>
        </w:rPr>
      </w:pPr>
    </w:p>
    <w:p w:rsidR="006F0D7E" w:rsidRDefault="006F0D7E" w:rsidP="006F0D7E">
      <w:pPr>
        <w:rPr>
          <w:sz w:val="28"/>
          <w:szCs w:val="28"/>
        </w:rPr>
      </w:pPr>
      <w:r>
        <w:rPr>
          <w:sz w:val="28"/>
          <w:szCs w:val="28"/>
        </w:rPr>
        <w:t xml:space="preserve">The success of the model is dependent on many factors listed below – Values and Critical success Factors.  The model has interdependent relationships that rely on the critical success factors and values all working together – there are many models of social prescribing, contract management and community solutions that seem similar but do not hold to all of these principles. </w:t>
      </w:r>
    </w:p>
    <w:p w:rsidR="006F0D7E" w:rsidRPr="006F0D7E" w:rsidRDefault="006F0D7E" w:rsidP="006F0D7E">
      <w:pPr>
        <w:rPr>
          <w:sz w:val="28"/>
          <w:szCs w:val="28"/>
        </w:rPr>
      </w:pPr>
      <w:r w:rsidRPr="006F0D7E">
        <w:rPr>
          <w:sz w:val="28"/>
          <w:szCs w:val="28"/>
        </w:rPr>
        <w:t>Many models will emerge as different localities respond to local need differently. A spectrum o</w:t>
      </w:r>
      <w:r>
        <w:rPr>
          <w:sz w:val="28"/>
          <w:szCs w:val="28"/>
        </w:rPr>
        <w:t>f approaches is to be welcomed following these core principles.</w:t>
      </w:r>
    </w:p>
    <w:p w:rsidR="00C7483D" w:rsidRDefault="00C7483D" w:rsidP="009B21DD">
      <w:pPr>
        <w:tabs>
          <w:tab w:val="left" w:pos="2300"/>
        </w:tabs>
        <w:rPr>
          <w:rFonts w:cs="Arial"/>
          <w:b/>
          <w:iCs/>
          <w:color w:val="000000"/>
          <w:sz w:val="28"/>
          <w:szCs w:val="28"/>
        </w:rPr>
      </w:pPr>
    </w:p>
    <w:p w:rsidR="006F0D7E" w:rsidRPr="006F0D7E" w:rsidRDefault="006F0D7E" w:rsidP="006F0D7E">
      <w:pPr>
        <w:tabs>
          <w:tab w:val="left" w:pos="2300"/>
        </w:tabs>
        <w:rPr>
          <w:rFonts w:cs="Arial"/>
          <w:b/>
          <w:iCs/>
          <w:color w:val="000000"/>
          <w:sz w:val="32"/>
          <w:szCs w:val="28"/>
        </w:rPr>
      </w:pPr>
      <w:r w:rsidRPr="006F0D7E">
        <w:rPr>
          <w:rFonts w:cs="Arial"/>
          <w:b/>
          <w:iCs/>
          <w:color w:val="000000"/>
          <w:sz w:val="32"/>
          <w:szCs w:val="28"/>
        </w:rPr>
        <w:lastRenderedPageBreak/>
        <w:t>The Values</w:t>
      </w:r>
    </w:p>
    <w:p w:rsidR="00F24BE9" w:rsidRDefault="006F0D7E" w:rsidP="009B21DD">
      <w:pPr>
        <w:pStyle w:val="Default"/>
        <w:numPr>
          <w:ilvl w:val="0"/>
          <w:numId w:val="1"/>
        </w:numPr>
        <w:rPr>
          <w:rFonts w:ascii="Arial" w:hAnsi="Arial" w:cs="Arial"/>
          <w:sz w:val="36"/>
          <w:szCs w:val="28"/>
        </w:rPr>
      </w:pPr>
      <w:r w:rsidRPr="00C7483D">
        <w:rPr>
          <w:rFonts w:cs="Arial"/>
          <w:b/>
          <w:iCs/>
          <w:noProof/>
          <w:sz w:val="28"/>
          <w:szCs w:val="28"/>
          <w:lang w:eastAsia="en-GB"/>
        </w:rPr>
        <w:drawing>
          <wp:anchor distT="0" distB="0" distL="114300" distR="114300" simplePos="0" relativeHeight="251659264" behindDoc="0" locked="0" layoutInCell="1" allowOverlap="1">
            <wp:simplePos x="0" y="0"/>
            <wp:positionH relativeFrom="column">
              <wp:posOffset>4062301</wp:posOffset>
            </wp:positionH>
            <wp:positionV relativeFrom="paragraph">
              <wp:posOffset>-239</wp:posOffset>
            </wp:positionV>
            <wp:extent cx="2515235" cy="1590040"/>
            <wp:effectExtent l="0" t="0" r="0" b="0"/>
            <wp:wrapThrough wrapText="bothSides">
              <wp:wrapPolygon edited="0">
                <wp:start x="0" y="0"/>
                <wp:lineTo x="0" y="21220"/>
                <wp:lineTo x="21431" y="21220"/>
                <wp:lineTo x="21431" y="0"/>
                <wp:lineTo x="0" y="0"/>
              </wp:wrapPolygon>
            </wp:wrapThrough>
            <wp:docPr id="1" name="Picture 1" descr="Image result for th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values"/>
                    <pic:cNvPicPr>
                      <a:picLocks noChangeAspect="1" noChangeArrowheads="1"/>
                    </pic:cNvPicPr>
                  </pic:nvPicPr>
                  <pic:blipFill rotWithShape="1">
                    <a:blip r:embed="rId8">
                      <a:extLst>
                        <a:ext uri="{28A0092B-C50C-407E-A947-70E740481C1C}">
                          <a14:useLocalDpi xmlns:a14="http://schemas.microsoft.com/office/drawing/2010/main" val="0"/>
                        </a:ext>
                      </a:extLst>
                    </a:blip>
                    <a:srcRect t="6279" b="9627"/>
                    <a:stretch/>
                  </pic:blipFill>
                  <pic:spPr bwMode="auto">
                    <a:xfrm>
                      <a:off x="0" y="0"/>
                      <a:ext cx="2515235" cy="159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46619" w:rsidRPr="00E20AF2">
        <w:rPr>
          <w:rFonts w:asciiTheme="minorHAnsi" w:hAnsiTheme="minorHAnsi" w:cstheme="minorBidi"/>
          <w:b/>
          <w:color w:val="auto"/>
          <w:sz w:val="28"/>
          <w:szCs w:val="28"/>
        </w:rPr>
        <w:t xml:space="preserve">Community </w:t>
      </w:r>
      <w:r w:rsidR="00F24BE9" w:rsidRPr="00E20AF2">
        <w:rPr>
          <w:rFonts w:asciiTheme="minorHAnsi" w:hAnsiTheme="minorHAnsi" w:cstheme="minorBidi"/>
          <w:b/>
          <w:color w:val="auto"/>
          <w:sz w:val="28"/>
          <w:szCs w:val="28"/>
        </w:rPr>
        <w:t>Led</w:t>
      </w:r>
      <w:r w:rsidR="00F24BE9" w:rsidRPr="00F24BE9">
        <w:rPr>
          <w:sz w:val="28"/>
        </w:rPr>
        <w:t xml:space="preserve"> </w:t>
      </w:r>
      <w:r w:rsidR="00F46619">
        <w:rPr>
          <w:sz w:val="28"/>
        </w:rPr>
        <w:t xml:space="preserve">– </w:t>
      </w:r>
      <w:r w:rsidR="00F46619" w:rsidRPr="00E20AF2">
        <w:rPr>
          <w:rFonts w:asciiTheme="minorHAnsi" w:hAnsiTheme="minorHAnsi" w:cstheme="minorBidi"/>
          <w:color w:val="auto"/>
          <w:sz w:val="28"/>
          <w:szCs w:val="28"/>
        </w:rPr>
        <w:t xml:space="preserve">led and </w:t>
      </w:r>
      <w:r w:rsidR="00F24BE9" w:rsidRPr="00E20AF2">
        <w:rPr>
          <w:rFonts w:asciiTheme="minorHAnsi" w:hAnsiTheme="minorHAnsi" w:cstheme="minorBidi"/>
          <w:color w:val="auto"/>
          <w:sz w:val="28"/>
          <w:szCs w:val="28"/>
        </w:rPr>
        <w:t>owned by the community it aims to serve – including honouring individuals, groups, and communities for the realities they face.</w:t>
      </w:r>
    </w:p>
    <w:p w:rsidR="00F46619" w:rsidRDefault="009B21DD" w:rsidP="009B21DD">
      <w:pPr>
        <w:pStyle w:val="Default"/>
        <w:numPr>
          <w:ilvl w:val="0"/>
          <w:numId w:val="1"/>
        </w:numPr>
        <w:rPr>
          <w:rFonts w:ascii="Arial" w:hAnsi="Arial" w:cs="Arial"/>
          <w:sz w:val="36"/>
          <w:szCs w:val="28"/>
        </w:rPr>
      </w:pPr>
      <w:r w:rsidRPr="00E20AF2">
        <w:rPr>
          <w:rFonts w:asciiTheme="minorHAnsi" w:hAnsiTheme="minorHAnsi" w:cstheme="minorBidi"/>
          <w:b/>
          <w:color w:val="auto"/>
          <w:sz w:val="28"/>
          <w:szCs w:val="28"/>
        </w:rPr>
        <w:t>People first</w:t>
      </w:r>
      <w:r w:rsidRPr="00F24BE9">
        <w:rPr>
          <w:rFonts w:ascii="Arial" w:hAnsi="Arial" w:cs="Arial"/>
          <w:sz w:val="28"/>
          <w:szCs w:val="28"/>
        </w:rPr>
        <w:t xml:space="preserve"> – </w:t>
      </w:r>
      <w:r w:rsidRPr="00E20AF2">
        <w:rPr>
          <w:rFonts w:asciiTheme="minorHAnsi" w:hAnsiTheme="minorHAnsi" w:cstheme="minorBidi"/>
          <w:color w:val="auto"/>
          <w:sz w:val="28"/>
          <w:szCs w:val="28"/>
        </w:rPr>
        <w:t xml:space="preserve">asset based </w:t>
      </w:r>
      <w:r w:rsidR="00F24BE9" w:rsidRPr="00E20AF2">
        <w:rPr>
          <w:rFonts w:asciiTheme="minorHAnsi" w:hAnsiTheme="minorHAnsi" w:cstheme="minorBidi"/>
          <w:color w:val="auto"/>
          <w:sz w:val="28"/>
          <w:szCs w:val="28"/>
        </w:rPr>
        <w:t xml:space="preserve">enablement </w:t>
      </w:r>
      <w:r w:rsidR="00F46619" w:rsidRPr="00E20AF2">
        <w:rPr>
          <w:rFonts w:asciiTheme="minorHAnsi" w:hAnsiTheme="minorHAnsi" w:cstheme="minorBidi"/>
          <w:color w:val="auto"/>
          <w:sz w:val="28"/>
          <w:szCs w:val="28"/>
        </w:rPr>
        <w:t>culture and approach.</w:t>
      </w:r>
    </w:p>
    <w:p w:rsidR="00F46619" w:rsidRPr="00F46619" w:rsidRDefault="009B21DD" w:rsidP="009B21DD">
      <w:pPr>
        <w:pStyle w:val="Default"/>
        <w:numPr>
          <w:ilvl w:val="0"/>
          <w:numId w:val="1"/>
        </w:numPr>
        <w:rPr>
          <w:rFonts w:ascii="Arial" w:hAnsi="Arial" w:cs="Arial"/>
          <w:sz w:val="36"/>
          <w:szCs w:val="28"/>
        </w:rPr>
      </w:pPr>
      <w:r w:rsidRPr="00E20AF2">
        <w:rPr>
          <w:rFonts w:asciiTheme="minorHAnsi" w:hAnsiTheme="minorHAnsi" w:cstheme="minorBidi"/>
          <w:b/>
          <w:color w:val="auto"/>
          <w:sz w:val="28"/>
          <w:szCs w:val="28"/>
        </w:rPr>
        <w:t>Partnership</w:t>
      </w:r>
      <w:r w:rsidR="00F46619">
        <w:rPr>
          <w:rFonts w:ascii="Arial" w:hAnsi="Arial" w:cs="Arial"/>
          <w:sz w:val="28"/>
          <w:szCs w:val="28"/>
        </w:rPr>
        <w:t xml:space="preserve"> - </w:t>
      </w:r>
      <w:r w:rsidR="00F46619" w:rsidRPr="00E20AF2">
        <w:rPr>
          <w:rFonts w:asciiTheme="minorHAnsi" w:hAnsiTheme="minorHAnsi" w:cstheme="minorBidi"/>
          <w:color w:val="auto"/>
          <w:sz w:val="28"/>
          <w:szCs w:val="28"/>
        </w:rPr>
        <w:t>collaborative approach.</w:t>
      </w:r>
    </w:p>
    <w:p w:rsidR="009B21DD" w:rsidRDefault="009B21DD" w:rsidP="009B21DD">
      <w:pPr>
        <w:pStyle w:val="Default"/>
        <w:numPr>
          <w:ilvl w:val="0"/>
          <w:numId w:val="1"/>
        </w:numPr>
        <w:rPr>
          <w:rFonts w:ascii="Arial" w:hAnsi="Arial" w:cs="Arial"/>
          <w:sz w:val="28"/>
          <w:szCs w:val="28"/>
        </w:rPr>
      </w:pPr>
      <w:r w:rsidRPr="00E20AF2">
        <w:rPr>
          <w:rFonts w:asciiTheme="minorHAnsi" w:hAnsiTheme="minorHAnsi" w:cstheme="minorBidi"/>
          <w:b/>
          <w:color w:val="auto"/>
          <w:sz w:val="28"/>
          <w:szCs w:val="28"/>
        </w:rPr>
        <w:t>Local solutions</w:t>
      </w:r>
      <w:r w:rsidR="00F46619" w:rsidRPr="00F46619">
        <w:rPr>
          <w:rFonts w:ascii="Arial" w:hAnsi="Arial" w:cs="Arial"/>
          <w:b/>
          <w:sz w:val="28"/>
          <w:szCs w:val="28"/>
        </w:rPr>
        <w:t xml:space="preserve"> </w:t>
      </w:r>
      <w:r w:rsidR="00F46619" w:rsidRPr="00F46619">
        <w:rPr>
          <w:rFonts w:ascii="Arial" w:hAnsi="Arial" w:cs="Arial"/>
          <w:sz w:val="28"/>
          <w:szCs w:val="28"/>
        </w:rPr>
        <w:t xml:space="preserve">- </w:t>
      </w:r>
      <w:r w:rsidRPr="00E20AF2">
        <w:rPr>
          <w:rFonts w:asciiTheme="minorHAnsi" w:hAnsiTheme="minorHAnsi" w:cstheme="minorBidi"/>
          <w:color w:val="auto"/>
          <w:sz w:val="28"/>
          <w:szCs w:val="28"/>
        </w:rPr>
        <w:t>Local connectors, harnessing local action (structured or not)</w:t>
      </w:r>
      <w:r w:rsidR="000668EC">
        <w:rPr>
          <w:rFonts w:asciiTheme="minorHAnsi" w:hAnsiTheme="minorHAnsi" w:cstheme="minorBidi"/>
          <w:color w:val="auto"/>
          <w:sz w:val="28"/>
          <w:szCs w:val="28"/>
        </w:rPr>
        <w:t>.</w:t>
      </w:r>
    </w:p>
    <w:p w:rsidR="00F46619" w:rsidRPr="00F46619" w:rsidRDefault="00F46619" w:rsidP="009B21DD">
      <w:pPr>
        <w:pStyle w:val="Default"/>
        <w:numPr>
          <w:ilvl w:val="0"/>
          <w:numId w:val="1"/>
        </w:numPr>
        <w:rPr>
          <w:rFonts w:ascii="Arial" w:hAnsi="Arial" w:cs="Arial"/>
          <w:sz w:val="28"/>
          <w:szCs w:val="28"/>
        </w:rPr>
      </w:pPr>
      <w:r w:rsidRPr="00E20AF2">
        <w:rPr>
          <w:rFonts w:asciiTheme="minorHAnsi" w:hAnsiTheme="minorHAnsi" w:cstheme="minorBidi"/>
          <w:b/>
          <w:color w:val="auto"/>
          <w:sz w:val="28"/>
          <w:szCs w:val="28"/>
        </w:rPr>
        <w:t xml:space="preserve">Transparency </w:t>
      </w:r>
      <w:r>
        <w:rPr>
          <w:rFonts w:ascii="Arial" w:hAnsi="Arial" w:cs="Arial"/>
          <w:sz w:val="28"/>
          <w:szCs w:val="28"/>
        </w:rPr>
        <w:t xml:space="preserve">– </w:t>
      </w:r>
      <w:r w:rsidRPr="00E20AF2">
        <w:rPr>
          <w:rFonts w:asciiTheme="minorHAnsi" w:hAnsiTheme="minorHAnsi" w:cstheme="minorBidi"/>
          <w:color w:val="auto"/>
          <w:sz w:val="28"/>
          <w:szCs w:val="28"/>
        </w:rPr>
        <w:t>discussions and decisions should be shared openly</w:t>
      </w:r>
      <w:r w:rsidR="000668EC">
        <w:rPr>
          <w:rFonts w:ascii="Arial" w:hAnsi="Arial" w:cs="Arial"/>
          <w:sz w:val="28"/>
          <w:szCs w:val="28"/>
        </w:rPr>
        <w:t>.</w:t>
      </w:r>
    </w:p>
    <w:p w:rsidR="009B21DD" w:rsidRDefault="009B21DD" w:rsidP="00AA61E7">
      <w:pPr>
        <w:spacing w:after="0"/>
        <w:rPr>
          <w:b/>
          <w:sz w:val="28"/>
          <w:szCs w:val="28"/>
        </w:rPr>
      </w:pPr>
    </w:p>
    <w:p w:rsidR="00C7483D" w:rsidRDefault="00C7483D" w:rsidP="00F46619">
      <w:pPr>
        <w:tabs>
          <w:tab w:val="left" w:pos="2300"/>
        </w:tabs>
        <w:rPr>
          <w:rFonts w:cs="Arial"/>
          <w:b/>
          <w:iCs/>
          <w:color w:val="000000"/>
          <w:sz w:val="28"/>
          <w:szCs w:val="28"/>
        </w:rPr>
      </w:pPr>
    </w:p>
    <w:p w:rsidR="00C7483D" w:rsidRDefault="006F0D7E" w:rsidP="00F46619">
      <w:pPr>
        <w:tabs>
          <w:tab w:val="left" w:pos="2300"/>
        </w:tabs>
        <w:rPr>
          <w:rFonts w:cs="Arial"/>
          <w:b/>
          <w:iCs/>
          <w:color w:val="000000"/>
          <w:sz w:val="28"/>
          <w:szCs w:val="28"/>
        </w:rPr>
      </w:pPr>
      <w:r>
        <w:rPr>
          <w:noProof/>
          <w:lang w:eastAsia="en-GB"/>
        </w:rPr>
        <w:drawing>
          <wp:anchor distT="0" distB="0" distL="114300" distR="114300" simplePos="0" relativeHeight="251660288" behindDoc="0" locked="0" layoutInCell="1" allowOverlap="1">
            <wp:simplePos x="0" y="0"/>
            <wp:positionH relativeFrom="column">
              <wp:posOffset>4416770</wp:posOffset>
            </wp:positionH>
            <wp:positionV relativeFrom="paragraph">
              <wp:posOffset>273133</wp:posOffset>
            </wp:positionV>
            <wp:extent cx="2166195" cy="1555668"/>
            <wp:effectExtent l="0" t="0" r="5715" b="6985"/>
            <wp:wrapSquare wrapText="bothSides"/>
            <wp:docPr id="3" name="Picture 3" descr="Image result for critical success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itical success fact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195" cy="1555668"/>
                    </a:xfrm>
                    <a:prstGeom prst="rect">
                      <a:avLst/>
                    </a:prstGeom>
                    <a:noFill/>
                    <a:ln>
                      <a:noFill/>
                    </a:ln>
                  </pic:spPr>
                </pic:pic>
              </a:graphicData>
            </a:graphic>
          </wp:anchor>
        </w:drawing>
      </w:r>
    </w:p>
    <w:p w:rsidR="00F46619" w:rsidRPr="006F0D7E" w:rsidRDefault="00C7483D" w:rsidP="00F46619">
      <w:pPr>
        <w:tabs>
          <w:tab w:val="left" w:pos="2300"/>
        </w:tabs>
        <w:rPr>
          <w:rFonts w:cs="Arial"/>
          <w:b/>
          <w:iCs/>
          <w:color w:val="000000"/>
          <w:sz w:val="32"/>
          <w:szCs w:val="28"/>
        </w:rPr>
      </w:pPr>
      <w:r w:rsidRPr="006F0D7E">
        <w:rPr>
          <w:rFonts w:cs="Arial"/>
          <w:b/>
          <w:iCs/>
          <w:color w:val="000000"/>
          <w:sz w:val="32"/>
          <w:szCs w:val="28"/>
        </w:rPr>
        <w:t xml:space="preserve">The </w:t>
      </w:r>
      <w:r w:rsidR="00F46619" w:rsidRPr="006F0D7E">
        <w:rPr>
          <w:rFonts w:cs="Arial"/>
          <w:b/>
          <w:iCs/>
          <w:color w:val="000000"/>
          <w:sz w:val="32"/>
          <w:szCs w:val="28"/>
        </w:rPr>
        <w:t>Critical Success Factors</w:t>
      </w:r>
    </w:p>
    <w:p w:rsidR="00AA61E7" w:rsidRDefault="001642C1" w:rsidP="00AA61E7">
      <w:pPr>
        <w:pStyle w:val="ListParagraph"/>
        <w:numPr>
          <w:ilvl w:val="0"/>
          <w:numId w:val="2"/>
        </w:numPr>
        <w:rPr>
          <w:sz w:val="28"/>
          <w:szCs w:val="28"/>
        </w:rPr>
      </w:pPr>
      <w:r w:rsidRPr="001642C1">
        <w:rPr>
          <w:b/>
          <w:sz w:val="28"/>
          <w:szCs w:val="28"/>
        </w:rPr>
        <w:t>Communication</w:t>
      </w:r>
      <w:r w:rsidRPr="001642C1">
        <w:rPr>
          <w:sz w:val="28"/>
          <w:szCs w:val="28"/>
        </w:rPr>
        <w:t xml:space="preserve"> </w:t>
      </w:r>
      <w:r>
        <w:rPr>
          <w:sz w:val="28"/>
          <w:szCs w:val="28"/>
        </w:rPr>
        <w:t>–</w:t>
      </w:r>
      <w:r w:rsidRPr="001642C1">
        <w:rPr>
          <w:sz w:val="28"/>
          <w:szCs w:val="28"/>
        </w:rPr>
        <w:t xml:space="preserve"> </w:t>
      </w:r>
      <w:r>
        <w:rPr>
          <w:sz w:val="28"/>
          <w:szCs w:val="28"/>
        </w:rPr>
        <w:t>Excellent communication channels across the whole system.</w:t>
      </w:r>
    </w:p>
    <w:p w:rsidR="001642C1" w:rsidRPr="00AA61E7" w:rsidRDefault="001642C1" w:rsidP="00AA61E7">
      <w:pPr>
        <w:pStyle w:val="ListParagraph"/>
        <w:numPr>
          <w:ilvl w:val="0"/>
          <w:numId w:val="2"/>
        </w:numPr>
        <w:rPr>
          <w:sz w:val="28"/>
          <w:szCs w:val="28"/>
        </w:rPr>
      </w:pPr>
      <w:r w:rsidRPr="00AA61E7">
        <w:rPr>
          <w:b/>
          <w:sz w:val="28"/>
          <w:szCs w:val="28"/>
        </w:rPr>
        <w:t>Clarity</w:t>
      </w:r>
      <w:r w:rsidRPr="00AA61E7">
        <w:rPr>
          <w:sz w:val="28"/>
          <w:szCs w:val="28"/>
        </w:rPr>
        <w:t xml:space="preserve"> - Include clear messages from partners</w:t>
      </w:r>
      <w:r w:rsidR="00E20AF2" w:rsidRPr="00AA61E7">
        <w:rPr>
          <w:sz w:val="28"/>
          <w:szCs w:val="28"/>
        </w:rPr>
        <w:t>, funders and referral organisations</w:t>
      </w:r>
      <w:r w:rsidRPr="00AA61E7">
        <w:rPr>
          <w:sz w:val="28"/>
          <w:szCs w:val="28"/>
        </w:rPr>
        <w:t xml:space="preserve"> to the community (and each other) about </w:t>
      </w:r>
      <w:r w:rsidR="00E20AF2" w:rsidRPr="00AA61E7">
        <w:rPr>
          <w:sz w:val="28"/>
          <w:szCs w:val="28"/>
        </w:rPr>
        <w:t xml:space="preserve">purpose of the system </w:t>
      </w:r>
      <w:r w:rsidRPr="00AA61E7">
        <w:rPr>
          <w:sz w:val="28"/>
          <w:szCs w:val="28"/>
        </w:rPr>
        <w:t>the ongoing importance of the programme/process through commitment to delivering the agreed outcomes</w:t>
      </w:r>
      <w:r w:rsidR="00E20AF2" w:rsidRPr="00AA61E7">
        <w:rPr>
          <w:sz w:val="28"/>
          <w:szCs w:val="28"/>
        </w:rPr>
        <w:t xml:space="preserve"> of any system.  </w:t>
      </w:r>
    </w:p>
    <w:p w:rsidR="00E20AF2" w:rsidRDefault="00E20AF2" w:rsidP="00E20AF2">
      <w:pPr>
        <w:pStyle w:val="ListParagraph"/>
        <w:numPr>
          <w:ilvl w:val="0"/>
          <w:numId w:val="2"/>
        </w:numPr>
        <w:rPr>
          <w:sz w:val="28"/>
          <w:szCs w:val="28"/>
        </w:rPr>
      </w:pPr>
      <w:r w:rsidRPr="00E20AF2">
        <w:rPr>
          <w:b/>
          <w:sz w:val="28"/>
          <w:szCs w:val="28"/>
        </w:rPr>
        <w:t>High Skill Level</w:t>
      </w:r>
      <w:r>
        <w:t xml:space="preserve"> - </w:t>
      </w:r>
      <w:r w:rsidRPr="00E20AF2">
        <w:rPr>
          <w:sz w:val="28"/>
          <w:szCs w:val="28"/>
        </w:rPr>
        <w:t xml:space="preserve">the link worker/navigator/champion </w:t>
      </w:r>
      <w:r>
        <w:rPr>
          <w:sz w:val="28"/>
          <w:szCs w:val="28"/>
        </w:rPr>
        <w:t xml:space="preserve">at the Single Point of Contact organisation </w:t>
      </w:r>
      <w:r w:rsidRPr="00E20AF2">
        <w:rPr>
          <w:sz w:val="28"/>
          <w:szCs w:val="28"/>
        </w:rPr>
        <w:t>work very proactively (e.g. going out and about and engaging people informally, becoming the ‘go-to’ person in th</w:t>
      </w:r>
      <w:r w:rsidR="00AA61E7">
        <w:rPr>
          <w:sz w:val="28"/>
          <w:szCs w:val="28"/>
        </w:rPr>
        <w:t xml:space="preserve">e community) and have </w:t>
      </w:r>
      <w:r>
        <w:rPr>
          <w:sz w:val="28"/>
          <w:szCs w:val="28"/>
        </w:rPr>
        <w:t>sufficient skills and experience to effectively work with the community and potential funders.</w:t>
      </w:r>
    </w:p>
    <w:p w:rsidR="00E20AF2" w:rsidRDefault="00E20AF2" w:rsidP="00E20AF2">
      <w:pPr>
        <w:pStyle w:val="ListParagraph"/>
        <w:numPr>
          <w:ilvl w:val="0"/>
          <w:numId w:val="2"/>
        </w:numPr>
        <w:rPr>
          <w:sz w:val="28"/>
          <w:szCs w:val="28"/>
        </w:rPr>
      </w:pPr>
      <w:r>
        <w:rPr>
          <w:b/>
          <w:sz w:val="28"/>
          <w:szCs w:val="28"/>
        </w:rPr>
        <w:t xml:space="preserve">Infrastructure Support </w:t>
      </w:r>
      <w:r>
        <w:rPr>
          <w:sz w:val="28"/>
          <w:szCs w:val="28"/>
        </w:rPr>
        <w:t>– to support strategic development and coordination of the service and support staff and volunteers involved.</w:t>
      </w:r>
    </w:p>
    <w:p w:rsidR="000668EC" w:rsidRDefault="00E20AF2" w:rsidP="00E20AF2">
      <w:pPr>
        <w:pStyle w:val="ListParagraph"/>
        <w:numPr>
          <w:ilvl w:val="0"/>
          <w:numId w:val="2"/>
        </w:numPr>
        <w:rPr>
          <w:sz w:val="28"/>
          <w:szCs w:val="28"/>
        </w:rPr>
      </w:pPr>
      <w:r>
        <w:rPr>
          <w:b/>
          <w:sz w:val="28"/>
          <w:szCs w:val="28"/>
        </w:rPr>
        <w:t>Evolving</w:t>
      </w:r>
      <w:r>
        <w:rPr>
          <w:sz w:val="28"/>
          <w:szCs w:val="28"/>
        </w:rPr>
        <w:t xml:space="preserve"> - </w:t>
      </w:r>
      <w:r w:rsidRPr="00E20AF2">
        <w:rPr>
          <w:sz w:val="28"/>
          <w:szCs w:val="28"/>
        </w:rPr>
        <w:t>recognising that if it can't grow and develop it can't respond too differing/emerging priorities, or take advantage of change.</w:t>
      </w:r>
    </w:p>
    <w:p w:rsidR="00E20AF2" w:rsidRDefault="000668EC" w:rsidP="00E20AF2">
      <w:pPr>
        <w:pStyle w:val="ListParagraph"/>
        <w:numPr>
          <w:ilvl w:val="0"/>
          <w:numId w:val="2"/>
        </w:numPr>
        <w:rPr>
          <w:sz w:val="28"/>
          <w:szCs w:val="28"/>
        </w:rPr>
      </w:pPr>
      <w:r>
        <w:rPr>
          <w:b/>
          <w:sz w:val="28"/>
          <w:szCs w:val="28"/>
        </w:rPr>
        <w:t>Funding</w:t>
      </w:r>
      <w:r>
        <w:rPr>
          <w:sz w:val="28"/>
          <w:szCs w:val="28"/>
        </w:rPr>
        <w:t xml:space="preserve"> – recognition that this work does not simply exist without funding – this may be minimal and blended but services are becoming saturated (both statutory and voluntary sector) </w:t>
      </w:r>
      <w:r w:rsidR="00E20AF2">
        <w:br/>
      </w:r>
    </w:p>
    <w:sectPr w:rsidR="00E20AF2" w:rsidSect="003E5C06">
      <w:footerReference w:type="default" r:id="rId10"/>
      <w:pgSz w:w="11907" w:h="16839" w:code="9"/>
      <w:pgMar w:top="709" w:right="708" w:bottom="851" w:left="709"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F2" w:rsidRDefault="00E20AF2" w:rsidP="00E20AF2">
      <w:pPr>
        <w:spacing w:after="0" w:line="240" w:lineRule="auto"/>
      </w:pPr>
      <w:r>
        <w:separator/>
      </w:r>
    </w:p>
  </w:endnote>
  <w:endnote w:type="continuationSeparator" w:id="0">
    <w:p w:rsidR="00E20AF2" w:rsidRDefault="00E20AF2" w:rsidP="00E2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F2" w:rsidRDefault="00E20AF2">
    <w:pPr>
      <w:pStyle w:val="Footer"/>
    </w:pPr>
    <w:r>
      <w:t xml:space="preserve">Intellectual Property of LCRIC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F2" w:rsidRDefault="00E20AF2" w:rsidP="00E20AF2">
      <w:pPr>
        <w:spacing w:after="0" w:line="240" w:lineRule="auto"/>
      </w:pPr>
      <w:r>
        <w:separator/>
      </w:r>
    </w:p>
  </w:footnote>
  <w:footnote w:type="continuationSeparator" w:id="0">
    <w:p w:rsidR="00E20AF2" w:rsidRDefault="00E20AF2" w:rsidP="00E20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0F41"/>
    <w:multiLevelType w:val="hybridMultilevel"/>
    <w:tmpl w:val="A9EE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2902"/>
    <w:multiLevelType w:val="hybridMultilevel"/>
    <w:tmpl w:val="D098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32F72"/>
    <w:multiLevelType w:val="hybridMultilevel"/>
    <w:tmpl w:val="479A6752"/>
    <w:lvl w:ilvl="0" w:tplc="4EBCF32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56"/>
    <w:rsid w:val="000668EC"/>
    <w:rsid w:val="001642C1"/>
    <w:rsid w:val="003E5C06"/>
    <w:rsid w:val="006F0D7E"/>
    <w:rsid w:val="0077460A"/>
    <w:rsid w:val="00852556"/>
    <w:rsid w:val="00894C04"/>
    <w:rsid w:val="009B1715"/>
    <w:rsid w:val="009B21DD"/>
    <w:rsid w:val="009D70DE"/>
    <w:rsid w:val="009E73F0"/>
    <w:rsid w:val="00AA61E7"/>
    <w:rsid w:val="00C7483D"/>
    <w:rsid w:val="00E20AF2"/>
    <w:rsid w:val="00F24BE9"/>
    <w:rsid w:val="00F4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5A0561-D06F-4D7B-9EF7-55D31F6D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1DD"/>
    <w:pPr>
      <w:autoSpaceDE w:val="0"/>
      <w:autoSpaceDN w:val="0"/>
      <w:adjustRightInd w:val="0"/>
      <w:spacing w:after="0" w:line="240" w:lineRule="auto"/>
    </w:pPr>
    <w:rPr>
      <w:rFonts w:ascii="Futura Book" w:hAnsi="Futura Book" w:cs="Futura Book"/>
      <w:color w:val="000000"/>
      <w:sz w:val="24"/>
      <w:szCs w:val="24"/>
    </w:rPr>
  </w:style>
  <w:style w:type="paragraph" w:styleId="ListParagraph">
    <w:name w:val="List Paragraph"/>
    <w:basedOn w:val="Normal"/>
    <w:uiPriority w:val="34"/>
    <w:qFormat/>
    <w:rsid w:val="001642C1"/>
    <w:pPr>
      <w:ind w:left="720"/>
      <w:contextualSpacing/>
    </w:pPr>
  </w:style>
  <w:style w:type="paragraph" w:styleId="Header">
    <w:name w:val="header"/>
    <w:basedOn w:val="Normal"/>
    <w:link w:val="HeaderChar"/>
    <w:uiPriority w:val="99"/>
    <w:unhideWhenUsed/>
    <w:rsid w:val="00E20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AF2"/>
  </w:style>
  <w:style w:type="paragraph" w:styleId="Footer">
    <w:name w:val="footer"/>
    <w:basedOn w:val="Normal"/>
    <w:link w:val="FooterChar"/>
    <w:uiPriority w:val="99"/>
    <w:unhideWhenUsed/>
    <w:rsid w:val="00E20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Watterson</dc:creator>
  <cp:keywords/>
  <dc:description/>
  <cp:lastModifiedBy>Deborah Hugill</cp:lastModifiedBy>
  <cp:revision>2</cp:revision>
  <cp:lastPrinted>2016-11-30T14:00:00Z</cp:lastPrinted>
  <dcterms:created xsi:type="dcterms:W3CDTF">2017-06-20T09:36:00Z</dcterms:created>
  <dcterms:modified xsi:type="dcterms:W3CDTF">2017-06-20T09:36:00Z</dcterms:modified>
</cp:coreProperties>
</file>